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A4" w:rsidRPr="004125E1" w:rsidRDefault="0079772F" w:rsidP="00412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Суточная норма добычи (вылова) водных биоресурсов</w:t>
      </w:r>
      <w:r w:rsidR="004125E1">
        <w:rPr>
          <w:rFonts w:ascii="Times New Roman" w:hAnsi="Times New Roman" w:cs="Times New Roman"/>
          <w:b/>
          <w:sz w:val="24"/>
          <w:szCs w:val="24"/>
        </w:rPr>
        <w:t xml:space="preserve"> (за исключением случая, если для таких водных биоресурсов установлен постоянный или временный запрет добычи (вылова) при осуществлении любительского рыболовства) для одного гражданина при осуществлении любительского рыболовства</w:t>
      </w:r>
    </w:p>
    <w:tbl>
      <w:tblPr>
        <w:tblW w:w="43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843"/>
      </w:tblGrid>
      <w:tr w:rsidR="0079772F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2F" w:rsidRPr="0079772F" w:rsidRDefault="0079772F" w:rsidP="0079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977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72F" w:rsidRPr="0079772F" w:rsidRDefault="0079772F" w:rsidP="0079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977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Суточна</w:t>
            </w:r>
            <w:r w:rsidR="004125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 норма добычи (вылова), кг/</w:t>
            </w:r>
            <w:proofErr w:type="spellStart"/>
            <w:proofErr w:type="gramStart"/>
            <w:r w:rsidR="004125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Судак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2 экземпляра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Сом пресноводный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2 экземпляра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Сазан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3 экземпляра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Сарган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Тарань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Рыбец (сырть)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экземпляров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Амур белый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2 экземпляра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Кумжа (форель) (пресноводная жилая форма)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экземпляров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proofErr w:type="spellStart"/>
            <w:r>
              <w:t>Барабуля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Ставрида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10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Жерех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3 экземпляра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Толстолобики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2 экземпляра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Сельди черноморско-азовские проходная и морская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proofErr w:type="spellStart"/>
            <w:r>
              <w:t>Пиленгас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10 кг или 6 экземпляров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Камбала-калкан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7,5 кг или 2 экземпляра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Камбала-глосса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Морской ерш (</w:t>
            </w:r>
            <w:proofErr w:type="spellStart"/>
            <w:r>
              <w:t>скорпена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Темный горбыль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 или 3 экземпляра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Бычки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Кефали (</w:t>
            </w:r>
            <w:proofErr w:type="spellStart"/>
            <w:r>
              <w:t>сингиль</w:t>
            </w:r>
            <w:proofErr w:type="spellEnd"/>
            <w:r>
              <w:t xml:space="preserve">, </w:t>
            </w:r>
            <w:r>
              <w:lastRenderedPageBreak/>
              <w:t>лобан, остронос)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15 экземпляров или 7,5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Скумбрия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Пеламида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 или 3 экземпляра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Мидии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proofErr w:type="spellStart"/>
            <w:r>
              <w:t>Рапана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30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Раки (рак пресноводный)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30 экземпляров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Креветки черноморские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2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proofErr w:type="spellStart"/>
            <w:r>
              <w:t>Артемии</w:t>
            </w:r>
            <w:proofErr w:type="spellEnd"/>
            <w:r>
              <w:t xml:space="preserve"> (в том числе на стадии цист)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0,2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proofErr w:type="spellStart"/>
            <w:r>
              <w:t>Хирономиды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0,5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Полихеты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0,5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Голавль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20 экземпляров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proofErr w:type="spellStart"/>
            <w:r>
              <w:t>Атерина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10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proofErr w:type="spellStart"/>
            <w:r>
              <w:t>Зубарик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3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Карась 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Мерланг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10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Акула-катран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Скат морская лисица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proofErr w:type="spellStart"/>
            <w:r>
              <w:t>Скат-хвостокол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Сардина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Хамса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10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Шпрот (килька)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10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Тюлька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Налим 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Солнечник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proofErr w:type="spellStart"/>
            <w:r>
              <w:t>Лаврак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10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proofErr w:type="spellStart"/>
            <w:r>
              <w:t>Луфарь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10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Смарида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5 кг</w:t>
            </w:r>
          </w:p>
        </w:tc>
      </w:tr>
      <w:tr w:rsidR="0066476A" w:rsidRPr="0079772F" w:rsidTr="0066476A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Карась серебряный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Default="0066476A" w:rsidP="00A254F4">
            <w:pPr>
              <w:pStyle w:val="ConsPlusNormal"/>
            </w:pPr>
            <w:r>
              <w:t>10 кг</w:t>
            </w:r>
          </w:p>
        </w:tc>
      </w:tr>
    </w:tbl>
    <w:p w:rsidR="009D7BA4" w:rsidRDefault="009D7BA4"/>
    <w:p w:rsidR="0066476A" w:rsidRDefault="0066476A"/>
    <w:p w:rsidR="0000727B" w:rsidRDefault="00697994" w:rsidP="0050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94">
        <w:rPr>
          <w:rFonts w:eastAsia="Times New Roman" w:cs="Times New Roman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5pt" filled="t">
            <v:fill color2="black"/>
            <v:imagedata r:id="rId5" o:title=""/>
          </v:shape>
        </w:pict>
      </w:r>
    </w:p>
    <w:p w:rsidR="0047160B" w:rsidRPr="0000727B" w:rsidRDefault="009D7BA4" w:rsidP="000072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A4">
        <w:rPr>
          <w:rFonts w:ascii="Times New Roman" w:hAnsi="Times New Roman" w:cs="Times New Roman"/>
          <w:b/>
          <w:sz w:val="24"/>
          <w:szCs w:val="24"/>
        </w:rPr>
        <w:t xml:space="preserve">Азово-Черноморское территориальное управление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D7BA4">
        <w:rPr>
          <w:rFonts w:ascii="Times New Roman" w:hAnsi="Times New Roman" w:cs="Times New Roman"/>
          <w:b/>
          <w:sz w:val="24"/>
          <w:szCs w:val="24"/>
        </w:rPr>
        <w:t>Федерального агентства по рыболовству</w:t>
      </w:r>
    </w:p>
    <w:p w:rsidR="009D7BA4" w:rsidRPr="0000727B" w:rsidRDefault="009D7BA4" w:rsidP="009D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00727B">
        <w:rPr>
          <w:rFonts w:ascii="Times New Roman" w:hAnsi="Times New Roman" w:cs="Times New Roman"/>
          <w:b/>
          <w:sz w:val="28"/>
          <w:szCs w:val="28"/>
        </w:rPr>
        <w:br/>
      </w:r>
      <w:r w:rsidRPr="0000727B">
        <w:rPr>
          <w:rFonts w:ascii="Times New Roman" w:hAnsi="Times New Roman" w:cs="Times New Roman"/>
          <w:b/>
          <w:sz w:val="28"/>
          <w:szCs w:val="28"/>
        </w:rPr>
        <w:t>РЫБОЛОВАМ ЛЮБИТЕЛЯМ</w:t>
      </w:r>
    </w:p>
    <w:p w:rsidR="00540C03" w:rsidRPr="00540C03" w:rsidRDefault="00A36FFD" w:rsidP="00540C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40C03">
        <w:rPr>
          <w:rFonts w:ascii="Times New Roman" w:hAnsi="Times New Roman" w:cs="Times New Roman"/>
        </w:rPr>
        <w:t xml:space="preserve">Любительское рыболовство </w:t>
      </w:r>
      <w:r w:rsidR="00540C03" w:rsidRPr="00540C03">
        <w:rPr>
          <w:rFonts w:ascii="Times New Roman" w:hAnsi="Times New Roman" w:cs="Times New Roman"/>
        </w:rPr>
        <w:t>в Черном море с бассейнами впадающих в него рек</w:t>
      </w:r>
      <w:r w:rsidR="00540C03">
        <w:rPr>
          <w:rFonts w:ascii="Times New Roman" w:hAnsi="Times New Roman" w:cs="Times New Roman"/>
        </w:rPr>
        <w:t xml:space="preserve"> и</w:t>
      </w:r>
    </w:p>
    <w:p w:rsidR="00540C03" w:rsidRPr="00540C03" w:rsidRDefault="00773FE8" w:rsidP="00540C03">
      <w:pPr>
        <w:pStyle w:val="ConsPlusTitle"/>
        <w:jc w:val="center"/>
        <w:rPr>
          <w:rFonts w:ascii="Times New Roman" w:hAnsi="Times New Roman" w:cs="Times New Roman"/>
        </w:rPr>
      </w:pPr>
      <w:r w:rsidRPr="00540C03">
        <w:rPr>
          <w:rFonts w:ascii="Times New Roman" w:hAnsi="Times New Roman" w:cs="Times New Roman"/>
        </w:rPr>
        <w:t>на</w:t>
      </w:r>
      <w:r w:rsidR="00540C03" w:rsidRPr="00540C03">
        <w:rPr>
          <w:rFonts w:ascii="Times New Roman" w:hAnsi="Times New Roman" w:cs="Times New Roman"/>
        </w:rPr>
        <w:t xml:space="preserve"> внутренних</w:t>
      </w:r>
      <w:r w:rsidRPr="00540C03">
        <w:rPr>
          <w:rFonts w:ascii="Times New Roman" w:hAnsi="Times New Roman" w:cs="Times New Roman"/>
        </w:rPr>
        <w:t xml:space="preserve"> водных объектах общего пользования</w:t>
      </w:r>
      <w:r w:rsidR="00540C03" w:rsidRPr="00540C03">
        <w:rPr>
          <w:rFonts w:ascii="Times New Roman" w:hAnsi="Times New Roman" w:cs="Times New Roman"/>
        </w:rPr>
        <w:t xml:space="preserve"> на территории</w:t>
      </w:r>
      <w:r w:rsidRPr="00540C03">
        <w:rPr>
          <w:rFonts w:ascii="Times New Roman" w:hAnsi="Times New Roman" w:cs="Times New Roman"/>
        </w:rPr>
        <w:t xml:space="preserve"> </w:t>
      </w:r>
    </w:p>
    <w:p w:rsidR="00540C03" w:rsidRPr="00540C03" w:rsidRDefault="00540C03" w:rsidP="00540C03">
      <w:pPr>
        <w:pStyle w:val="ConsPlusTitle"/>
        <w:jc w:val="center"/>
        <w:rPr>
          <w:rFonts w:ascii="Times New Roman" w:hAnsi="Times New Roman" w:cs="Times New Roman"/>
        </w:rPr>
      </w:pPr>
      <w:r w:rsidRPr="00540C03">
        <w:rPr>
          <w:rFonts w:ascii="Times New Roman" w:hAnsi="Times New Roman" w:cs="Times New Roman"/>
        </w:rPr>
        <w:t>Республики Крым</w:t>
      </w:r>
    </w:p>
    <w:p w:rsidR="00540C03" w:rsidRPr="00540C03" w:rsidRDefault="00540C03" w:rsidP="00540C03">
      <w:pPr>
        <w:pStyle w:val="ConsPlusTitle"/>
        <w:jc w:val="center"/>
        <w:rPr>
          <w:rFonts w:ascii="Times New Roman" w:hAnsi="Times New Roman" w:cs="Times New Roman"/>
        </w:rPr>
      </w:pPr>
      <w:r w:rsidRPr="00540C03">
        <w:rPr>
          <w:rFonts w:ascii="Times New Roman" w:hAnsi="Times New Roman" w:cs="Times New Roman"/>
        </w:rPr>
        <w:t>и города федерального значения Севастополь</w:t>
      </w:r>
    </w:p>
    <w:p w:rsidR="00436F80" w:rsidRPr="00540C03" w:rsidRDefault="00773FE8" w:rsidP="0050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0C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36FFD" w:rsidRPr="00540C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осуществляется свободно </w:t>
      </w:r>
    </w:p>
    <w:p w:rsidR="00A36FFD" w:rsidRPr="00A36FFD" w:rsidRDefault="00A36FFD" w:rsidP="0050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r w:rsidRPr="00540C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бесплатно </w:t>
      </w:r>
      <w:r w:rsidR="0047160B" w:rsidRPr="00540C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соблюдением </w:t>
      </w:r>
      <w:r w:rsidR="00773FE8" w:rsidRPr="00540C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="0047160B" w:rsidRPr="00540C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Правил рыболовства для </w:t>
      </w:r>
      <w:r w:rsidR="00773FE8" w:rsidRPr="00540C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="0047160B" w:rsidRPr="00540C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Азово-Черноморского рыбохозяйственного бассейна, утвержденных Приказом Минсельхоза России от 09 января 2020 г. № 1</w:t>
      </w:r>
      <w:r w:rsidR="0047160B" w:rsidRPr="0050356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436F80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br/>
      </w:r>
      <w:r w:rsidR="0047160B" w:rsidRPr="00436F80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>(</w:t>
      </w:r>
      <w:r w:rsidRPr="00A36FFD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 xml:space="preserve">за исключением случаев, предусмотренных </w:t>
      </w:r>
      <w:hyperlink r:id="rId6" w:history="1">
        <w:r w:rsidRPr="00436F80">
          <w:rPr>
            <w:rFonts w:ascii="Times New Roman CYR" w:eastAsiaTheme="minorEastAsia" w:hAnsi="Times New Roman CYR" w:cs="Times New Roman CYR"/>
            <w:i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A36FFD">
        <w:rPr>
          <w:rFonts w:ascii="Times New Roman CYR" w:eastAsiaTheme="minorEastAsia" w:hAnsi="Times New Roman CYR" w:cs="Times New Roman CYR"/>
          <w:i/>
          <w:color w:val="000000" w:themeColor="text1"/>
          <w:sz w:val="24"/>
          <w:szCs w:val="24"/>
          <w:lang w:eastAsia="ru-RU"/>
        </w:rPr>
        <w:t xml:space="preserve"> </w:t>
      </w:r>
      <w:r w:rsidRPr="00A36FFD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 xml:space="preserve">от 25 декабря 2018 г. N 475-ФЗ "О любительском рыболовстве </w:t>
      </w:r>
      <w:r w:rsidR="00436F80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br/>
      </w:r>
      <w:r w:rsidRPr="00A36FFD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 xml:space="preserve">и о внесении изменений в отдельные законодательные акты Российской Федерации" </w:t>
      </w:r>
      <w:r w:rsidR="00436F80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br/>
      </w:r>
      <w:r w:rsidR="0047160B" w:rsidRPr="00436F80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>и другими федеральными законами)</w:t>
      </w:r>
    </w:p>
    <w:p w:rsidR="004125E1" w:rsidRPr="0047160B" w:rsidRDefault="004125E1" w:rsidP="00A36FFD">
      <w:pPr>
        <w:pStyle w:val="1"/>
        <w:snapToGrid w:val="0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125E1" w:rsidRPr="0000727B" w:rsidRDefault="004125E1" w:rsidP="0050356E">
      <w:pPr>
        <w:pStyle w:val="1"/>
        <w:snapToGrid w:val="0"/>
        <w:ind w:firstLine="709"/>
        <w:jc w:val="both"/>
        <w:rPr>
          <w:rFonts w:ascii="Times New Roman" w:hAnsi="Times New Roman"/>
          <w:lang w:eastAsia="ru-RU"/>
        </w:rPr>
      </w:pPr>
      <w:r w:rsidRPr="0000727B">
        <w:rPr>
          <w:rFonts w:ascii="Times New Roman" w:hAnsi="Times New Roman"/>
          <w:lang w:eastAsia="ru-RU"/>
        </w:rPr>
        <w:t xml:space="preserve">Подробные разъяснения рыболовам-любителям по Правилам рыболовства для Азово-Черноморского рыбохозяйственного бассейна </w:t>
      </w:r>
      <w:r w:rsidR="0050356E" w:rsidRPr="0000727B">
        <w:rPr>
          <w:rFonts w:ascii="Times New Roman" w:hAnsi="Times New Roman"/>
          <w:lang w:eastAsia="ru-RU"/>
        </w:rPr>
        <w:t>дают сотрудники Азово-Черноморского филиала ФГБНУ «Всероссийский научно-исследовательский институт рыбного хозяйства и океанографии» («</w:t>
      </w:r>
      <w:proofErr w:type="spellStart"/>
      <w:r w:rsidR="0050356E" w:rsidRPr="0000727B">
        <w:rPr>
          <w:rFonts w:ascii="Times New Roman" w:hAnsi="Times New Roman"/>
          <w:lang w:eastAsia="ru-RU"/>
        </w:rPr>
        <w:t>АзНИИРХ</w:t>
      </w:r>
      <w:proofErr w:type="spellEnd"/>
      <w:r w:rsidR="0050356E" w:rsidRPr="0000727B">
        <w:rPr>
          <w:rFonts w:ascii="Times New Roman" w:hAnsi="Times New Roman"/>
          <w:lang w:eastAsia="ru-RU"/>
        </w:rPr>
        <w:t xml:space="preserve">») </w:t>
      </w:r>
      <w:r w:rsidRPr="0000727B">
        <w:rPr>
          <w:rFonts w:ascii="Times New Roman" w:hAnsi="Times New Roman"/>
          <w:lang w:eastAsia="ru-RU"/>
        </w:rPr>
        <w:t>по телефону горячей линии</w:t>
      </w:r>
      <w:r w:rsidR="0047160B" w:rsidRPr="0000727B">
        <w:rPr>
          <w:rFonts w:ascii="Times New Roman" w:hAnsi="Times New Roman"/>
          <w:lang w:eastAsia="ru-RU"/>
        </w:rPr>
        <w:t xml:space="preserve"> </w:t>
      </w:r>
      <w:r w:rsidR="003B748D">
        <w:rPr>
          <w:rFonts w:ascii="Times New Roman" w:hAnsi="Times New Roman"/>
          <w:lang w:eastAsia="ru-RU"/>
        </w:rPr>
        <w:br/>
      </w:r>
      <w:r w:rsidRPr="0000727B">
        <w:rPr>
          <w:rFonts w:ascii="Times New Roman" w:hAnsi="Times New Roman"/>
          <w:b/>
          <w:lang w:eastAsia="ru-RU"/>
        </w:rPr>
        <w:t>8 (918) 519-03-92</w:t>
      </w:r>
      <w:r w:rsidR="0050356E" w:rsidRPr="0000727B">
        <w:rPr>
          <w:rFonts w:ascii="Times New Roman" w:hAnsi="Times New Roman"/>
          <w:b/>
          <w:lang w:eastAsia="ru-RU"/>
        </w:rPr>
        <w:t>.</w:t>
      </w:r>
    </w:p>
    <w:p w:rsidR="0047160B" w:rsidRPr="0000727B" w:rsidRDefault="0047160B" w:rsidP="00A36FFD">
      <w:pPr>
        <w:pStyle w:val="1"/>
        <w:snapToGrid w:val="0"/>
        <w:spacing w:line="276" w:lineRule="auto"/>
        <w:ind w:firstLine="709"/>
        <w:jc w:val="both"/>
        <w:rPr>
          <w:rFonts w:ascii="Times New Roman" w:eastAsia="Arial Unicode MS" w:hAnsi="Times New Roman"/>
          <w:b/>
          <w:color w:val="000000"/>
          <w:u w:val="single"/>
          <w:lang w:eastAsia="en-US" w:bidi="en-US"/>
        </w:rPr>
      </w:pPr>
    </w:p>
    <w:p w:rsidR="00A36FFD" w:rsidRDefault="0047160B" w:rsidP="004716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27B">
        <w:rPr>
          <w:rFonts w:ascii="Times New Roman" w:hAnsi="Times New Roman" w:cs="Times New Roman"/>
          <w:sz w:val="20"/>
          <w:szCs w:val="20"/>
        </w:rPr>
        <w:t xml:space="preserve">Ознакомиться с актуальной редакцией Федерального закона, Правил рыболовства, можно на официальном сайте </w:t>
      </w:r>
      <w:r w:rsidRPr="0000727B">
        <w:rPr>
          <w:rFonts w:ascii="Times New Roman" w:hAnsi="Times New Roman" w:cs="Times New Roman"/>
          <w:sz w:val="20"/>
          <w:szCs w:val="20"/>
        </w:rPr>
        <w:lastRenderedPageBreak/>
        <w:t xml:space="preserve">Азово-Черноморского территориального управления Федерального агентства по рыболовству в информационно-телекоммуникационной сети «Интернет» по адресу www.rostov-fishcom.ru, разделы «Для рыболовов-любителей», «Правила рыболовства» </w:t>
      </w:r>
    </w:p>
    <w:p w:rsidR="00D736B0" w:rsidRPr="00471DEC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b/>
        </w:rPr>
      </w:pPr>
      <w:bookmarkStart w:id="0" w:name="sub_10461"/>
      <w:r w:rsidRPr="00471DEC">
        <w:rPr>
          <w:rFonts w:ascii="Times New Roman CYR" w:eastAsiaTheme="minorEastAsia" w:hAnsi="Times New Roman CYR" w:cs="Times New Roman CYR"/>
          <w:b/>
          <w:sz w:val="23"/>
          <w:szCs w:val="23"/>
          <w:lang w:eastAsia="ru-RU"/>
        </w:rPr>
        <w:t>52</w:t>
      </w:r>
      <w:r w:rsidR="00C2710E" w:rsidRPr="00471DEC">
        <w:rPr>
          <w:rFonts w:ascii="Times New Roman CYR" w:eastAsiaTheme="minorEastAsia" w:hAnsi="Times New Roman CYR" w:cs="Times New Roman CYR"/>
          <w:b/>
          <w:sz w:val="23"/>
          <w:szCs w:val="23"/>
          <w:lang w:eastAsia="ru-RU"/>
        </w:rPr>
        <w:t xml:space="preserve">. </w:t>
      </w:r>
      <w:r w:rsidR="00540C03" w:rsidRPr="00471DEC">
        <w:rPr>
          <w:b/>
        </w:rPr>
        <w:t>Запретные для добычи (вылова) водных биоресурсов сроки (периоды) устанавливаются:</w:t>
      </w:r>
      <w:bookmarkStart w:id="1" w:name="sub_1046111"/>
      <w:bookmarkEnd w:id="0"/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с 1 апреля по 31 мая - во всех водных объектах </w:t>
      </w:r>
      <w:proofErr w:type="spellStart"/>
      <w:r>
        <w:t>рыбохозяйственного</w:t>
      </w:r>
      <w:proofErr w:type="spellEnd"/>
      <w:r>
        <w:t xml:space="preserve"> значения, кроме </w:t>
      </w:r>
      <w:proofErr w:type="spellStart"/>
      <w:r>
        <w:t>Витязевского</w:t>
      </w:r>
      <w:proofErr w:type="spellEnd"/>
      <w:r>
        <w:t xml:space="preserve"> лимана и Черного моря;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с 1 января по 15 июля - раков (рака пресноводного);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с 1 апреля по 31 августа - в гирлах лиманов и озер, соединяющих их с морем, и перед гирлами со стороны моря и лиманов на расстоянии менее 500 м в каждую из сторон, а также менее 500 м вглубь моря, озера или лимана;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с 1 ноября по 28 февраля - всех видов водных биоресурсов на следующих участках: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на акватории Ялтинского грузового порта города Ялты на расстоянии от берега менее 100 м;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на акватории Ялтинского пассажирского порта и вдоль всей центральной набережной имени Ленина города Ялты до устья реки Водопадная на расстоянии от берега менее 100 м;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на акватории порта Артек на расстоянии от берега менее 100 м;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в Феодосийском заливе от центрального причала города Феодосия до причала у мыса </w:t>
      </w:r>
      <w:proofErr w:type="spellStart"/>
      <w:r>
        <w:t>Чумка</w:t>
      </w:r>
      <w:proofErr w:type="spellEnd"/>
      <w:r>
        <w:t xml:space="preserve"> включительно на расстоянии от берега менее 100 м;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от причала </w:t>
      </w:r>
      <w:proofErr w:type="spellStart"/>
      <w:r>
        <w:t>Карадагского</w:t>
      </w:r>
      <w:proofErr w:type="spellEnd"/>
      <w:r>
        <w:t xml:space="preserve"> природного заповедника до мыса Толстый включительно на расстоянии от берега менее 100 м;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от мыса </w:t>
      </w:r>
      <w:proofErr w:type="spellStart"/>
      <w:r>
        <w:t>Меганом</w:t>
      </w:r>
      <w:proofErr w:type="spellEnd"/>
      <w:r>
        <w:t xml:space="preserve"> до мыса Пещерный включительно на расстоянии от берега менее 100 м;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с 20 августа по 10 сентября повсеместно и с 1 декабря по 30 апреля на закрытых акваториях портов - кефалей (</w:t>
      </w:r>
      <w:proofErr w:type="spellStart"/>
      <w:r>
        <w:t>сингиль</w:t>
      </w:r>
      <w:proofErr w:type="spellEnd"/>
      <w:r>
        <w:t>, лобан, остронос);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с 1 мая по 15 июня - бычков в море;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с 14 февраля по 1 мая - камбалы-глоссы в море (кроме </w:t>
      </w:r>
      <w:proofErr w:type="spellStart"/>
      <w:r>
        <w:t>Каркинитского</w:t>
      </w:r>
      <w:proofErr w:type="spellEnd"/>
      <w:r>
        <w:t xml:space="preserve"> залива) и в лиманах;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с 1 июня по 31 августа - креветок черноморских, мидий;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lastRenderedPageBreak/>
        <w:t>с 15 января по 28 (29) февраля - щуки;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с 1 декабря по 30 апреля - горбыля темного и зубарика.</w:t>
      </w:r>
    </w:p>
    <w:p w:rsidR="00D736B0" w:rsidRPr="00471DEC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b/>
        </w:rPr>
      </w:pPr>
      <w:r w:rsidRPr="00471DEC">
        <w:rPr>
          <w:b/>
        </w:rPr>
        <w:t>53. Запретными для добычи (вылова) видами водных биоресурсов являются: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морские млекопитающие, осетровые виды рыб, черноморский лосось, светлый горбыль, морской петух, самки рака пресноводного, вынашивающие икру и личинок и любые другие водные животные и растения, занесенные в Красную книгу Российской Федерации и красные книги субъектов Российской Федерации в районе действия настоящей главы Правил рыболовства.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В случае добычи (вылова) запрещенных видов водных биоресурсов они должны с наименьшими повреждениями, независимо от их состояния, выпускаться в естественную среду обитания.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 54. В отношении видов запретных орудий и способов добычи (вылова) водных биоресурсов устанавливаются следующие требования:</w:t>
      </w:r>
    </w:p>
    <w:p w:rsidR="00D736B0" w:rsidRPr="00471DEC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b/>
        </w:rPr>
      </w:pPr>
      <w:r w:rsidRPr="00471DEC">
        <w:rPr>
          <w:b/>
        </w:rPr>
        <w:t>54.1. При любительском рыболовстве запрещается: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а) применение: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сетей всех типов;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ловушек всех типов и конструкций, за исключением </w:t>
      </w:r>
      <w:proofErr w:type="spellStart"/>
      <w:r>
        <w:t>раколовок</w:t>
      </w:r>
      <w:proofErr w:type="spellEnd"/>
      <w:r>
        <w:t>, использование которых допускается для добычи раков в пресноводных водных объектах;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пассивных орудий добычи (вылова) в реках, где обитает форель;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удочек (в том числе донных удочек) и спиннинговых снастей всех систем и наименований с общим количеством крючков (одинарных, двойных или тройных) более 10 штук у одного гражданина;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тралящих и драгирующих орудий добычи (вылова);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proofErr w:type="gramStart"/>
      <w:r>
        <w:t xml:space="preserve">отцеживающих и </w:t>
      </w:r>
      <w:proofErr w:type="spellStart"/>
      <w:r>
        <w:t>объячеивающих</w:t>
      </w:r>
      <w:proofErr w:type="spellEnd"/>
      <w:r>
        <w:t xml:space="preserve"> орудий добычи (вылова) и приспособлений, за исключением подъемников и черпаков не более одной штуки у одного гражданина, размером (длина, ширина, высота) не более 100 см и размером (шагом) ячеи не более 10 мм (в том числе используемых с приманкой) для отлова живца (наживки), кроме особо ценных и ценных видов рыб;</w:t>
      </w:r>
      <w:proofErr w:type="gramEnd"/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lastRenderedPageBreak/>
        <w:t>капканов;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самоловных (</w:t>
      </w:r>
      <w:proofErr w:type="spellStart"/>
      <w:r>
        <w:t>красноловных</w:t>
      </w:r>
      <w:proofErr w:type="spellEnd"/>
      <w:r>
        <w:t>) крючковых снастей;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колющих орудий добычи (вылова), за исключением любительского рыболовства, осуществляемого с использованием специальных пистолетов и ружей для подводной охоты;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огнестрельного и пневматического оружия, арбалетов и луков;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орудий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орудий добычи (вылова);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б) осуществлять добычу (вылов) водных биоресурсов: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способом багрения, глушения, гона (в том числе с помощью бряцал и </w:t>
      </w:r>
      <w:proofErr w:type="spellStart"/>
      <w:r>
        <w:t>ботания</w:t>
      </w:r>
      <w:proofErr w:type="spellEnd"/>
      <w:r>
        <w:t>);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переметами;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proofErr w:type="gramStart"/>
      <w:r>
        <w:t xml:space="preserve">на подсветку - с использованием осветительных приборов и фонарей различных конструкций с поверхности и в толще воды в темное время суток (астрономическое, с захода до восхода солнца) для добычи (вылова) водных биоресурсов, за исключением осуществления рыболовства с использованием удочек (в том числе донных удочек) и спиннинговых снастей всех систем и наименований, а также </w:t>
      </w:r>
      <w:proofErr w:type="spellStart"/>
      <w:r>
        <w:t>раколовок;</w:t>
      </w:r>
      <w:proofErr w:type="spellEnd"/>
      <w:proofErr w:type="gramEnd"/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на дорожку - с применением гребного судна или плавучего средства с использованием более 2 приманок на 1 судно или плавучее средство;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на </w:t>
      </w:r>
      <w:proofErr w:type="spellStart"/>
      <w:r>
        <w:t>троллинг</w:t>
      </w:r>
      <w:proofErr w:type="spellEnd"/>
      <w:r>
        <w:t xml:space="preserve"> - с применением паруса и (или) мотора с использованием более 2 приманок на 1 судно или плавучее средство;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кружками и жерлицами с общим количеством крючков (одинарных, двойных или тройных) более 10 штук на орудиях добычи (вылова) у 1 гражданина;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 при помощи устройства заездок, загородок, заколок, запруд и других видов заграждений, частично или полностью перекрывающих русло водных объектов и препятствующих свободному перемещению рыбы;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proofErr w:type="spellStart"/>
      <w:proofErr w:type="gramStart"/>
      <w:r>
        <w:t>раколовками</w:t>
      </w:r>
      <w:proofErr w:type="spellEnd"/>
      <w:r>
        <w:t xml:space="preserve"> более 5 штук у 1 гражданина, каждый </w:t>
      </w:r>
      <w:r>
        <w:lastRenderedPageBreak/>
        <w:t xml:space="preserve">из параметров, разрешаемых </w:t>
      </w:r>
      <w:proofErr w:type="spellStart"/>
      <w:r>
        <w:t>раколовок</w:t>
      </w:r>
      <w:proofErr w:type="spellEnd"/>
      <w:r>
        <w:t xml:space="preserve"> (длина, ширина, высота - для многоугольных, высота, диаметр - для конических и цилиндрических) не должны превышать 80 см);</w:t>
      </w:r>
      <w:proofErr w:type="gramEnd"/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креветок подъемным сачком более 70 см в диаметре;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мидий и </w:t>
      </w:r>
      <w:proofErr w:type="spellStart"/>
      <w:r>
        <w:t>рапаны</w:t>
      </w:r>
      <w:proofErr w:type="spellEnd"/>
      <w:r>
        <w:t xml:space="preserve"> сачками более 70 см в диаметре;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жаберным способом (при использовании </w:t>
      </w:r>
      <w:proofErr w:type="spellStart"/>
      <w:r>
        <w:t>жмыхоловок</w:t>
      </w:r>
      <w:proofErr w:type="spellEnd"/>
      <w:r>
        <w:t>, "комбайнов");</w:t>
      </w: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раков пресноводных руками вброд или путем ныряния.</w:t>
      </w:r>
    </w:p>
    <w:p w:rsidR="00471DEC" w:rsidRDefault="00471DEC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</w:p>
    <w:p w:rsidR="0066476A" w:rsidRPr="009D7BA4" w:rsidRDefault="0066476A" w:rsidP="00664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A4">
        <w:rPr>
          <w:rFonts w:ascii="Times New Roman" w:hAnsi="Times New Roman" w:cs="Times New Roman"/>
          <w:b/>
          <w:sz w:val="24"/>
          <w:szCs w:val="24"/>
        </w:rPr>
        <w:t>Запрещается вылов водных биоресурсов, имеющих в свежем виде длину меньше установленного промыслового размера (</w:t>
      </w:r>
      <w:proofErr w:type="gramStart"/>
      <w:r w:rsidRPr="009D7BA4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9D7BA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</w:tblGrid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736B0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водных биоресурсов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736B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Длина, </w:t>
            </w:r>
            <w:proofErr w:type="gramStart"/>
            <w:r w:rsidRPr="00D736B0">
              <w:rPr>
                <w:rFonts w:ascii="Times New Roman CYR" w:eastAsiaTheme="minorEastAsia" w:hAnsi="Times New Roman CYR" w:cs="Times New Roman CYR"/>
                <w:lang w:eastAsia="ru-RU"/>
              </w:rPr>
              <w:t>см</w:t>
            </w:r>
            <w:proofErr w:type="gramEnd"/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Судак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38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Сом пресноводный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60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Сазан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30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Тарань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16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Рыбец (сырть)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22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Синец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24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Кумжа (форель) (пресноводная жилая форма)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15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Амур белый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45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736B0">
              <w:rPr>
                <w:sz w:val="22"/>
                <w:szCs w:val="22"/>
              </w:rPr>
              <w:t>Барабуля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8,5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Ставрида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10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Лещ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28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736B0">
              <w:rPr>
                <w:sz w:val="22"/>
                <w:szCs w:val="22"/>
              </w:rPr>
              <w:t>Берш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25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Жерех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35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Толстолобики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50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Чехонь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24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Сельди черноморско-азовские проходная и морская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17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736B0">
              <w:rPr>
                <w:sz w:val="22"/>
                <w:szCs w:val="22"/>
              </w:rPr>
              <w:t>Пиленгас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38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Голавль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28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Камбала-калкан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40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Камбала-глосса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17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Морской ерш (</w:t>
            </w:r>
            <w:proofErr w:type="spellStart"/>
            <w:r w:rsidRPr="00D736B0">
              <w:rPr>
                <w:sz w:val="22"/>
                <w:szCs w:val="22"/>
              </w:rPr>
              <w:t>скорпена</w:t>
            </w:r>
            <w:proofErr w:type="spellEnd"/>
            <w:r w:rsidRPr="00D736B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15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Щука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30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lastRenderedPageBreak/>
              <w:t>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26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Бычки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10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Линь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20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Окунь пресноводный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15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Кефали (</w:t>
            </w:r>
            <w:proofErr w:type="spellStart"/>
            <w:r w:rsidRPr="00D736B0">
              <w:rPr>
                <w:sz w:val="22"/>
                <w:szCs w:val="22"/>
              </w:rPr>
              <w:t>сингиль</w:t>
            </w:r>
            <w:proofErr w:type="spellEnd"/>
            <w:r w:rsidRPr="00D736B0">
              <w:rPr>
                <w:sz w:val="22"/>
                <w:szCs w:val="22"/>
              </w:rPr>
              <w:t>, лобан, остронос)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20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Мидии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5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Раки (рак пресноводный)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9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Пузанок азовский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11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Креветки черноморские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3,5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Скумбрия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15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Горбыль темный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35</w:t>
            </w:r>
          </w:p>
        </w:tc>
      </w:tr>
      <w:tr w:rsidR="0066476A" w:rsidRPr="00D736B0" w:rsidTr="00A254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736B0">
              <w:rPr>
                <w:sz w:val="22"/>
                <w:szCs w:val="22"/>
              </w:rPr>
              <w:t>Зубарик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6A" w:rsidRPr="00D736B0" w:rsidRDefault="0066476A" w:rsidP="00A25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6B0">
              <w:rPr>
                <w:sz w:val="22"/>
                <w:szCs w:val="22"/>
              </w:rPr>
              <w:t>26</w:t>
            </w:r>
          </w:p>
        </w:tc>
      </w:tr>
    </w:tbl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</w:p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</w:p>
    <w:bookmarkEnd w:id="1"/>
    <w:p w:rsidR="00D736B0" w:rsidRDefault="00D736B0" w:rsidP="00D736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</w:p>
    <w:sectPr w:rsidR="00D736B0" w:rsidSect="009D7BA4">
      <w:pgSz w:w="16838" w:h="11906" w:orient="landscape"/>
      <w:pgMar w:top="284" w:right="284" w:bottom="284" w:left="284" w:header="709" w:footer="709" w:gutter="0"/>
      <w:cols w:num="3" w:space="3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9CE"/>
    <w:rsid w:val="0000727B"/>
    <w:rsid w:val="000D4D5D"/>
    <w:rsid w:val="003B748D"/>
    <w:rsid w:val="004125E1"/>
    <w:rsid w:val="00436F80"/>
    <w:rsid w:val="0047160B"/>
    <w:rsid w:val="00471DEC"/>
    <w:rsid w:val="0050356E"/>
    <w:rsid w:val="00540C03"/>
    <w:rsid w:val="0066476A"/>
    <w:rsid w:val="00697994"/>
    <w:rsid w:val="00773FE8"/>
    <w:rsid w:val="0079772F"/>
    <w:rsid w:val="009D7BA4"/>
    <w:rsid w:val="00A179CE"/>
    <w:rsid w:val="00A36FFD"/>
    <w:rsid w:val="00A7281B"/>
    <w:rsid w:val="00C2710E"/>
    <w:rsid w:val="00D7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36F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40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3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36F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2136944/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9883-0C04-4E43-9DD5-26F07AA5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8</cp:revision>
  <cp:lastPrinted>2020-03-26T06:31:00Z</cp:lastPrinted>
  <dcterms:created xsi:type="dcterms:W3CDTF">2020-03-25T13:28:00Z</dcterms:created>
  <dcterms:modified xsi:type="dcterms:W3CDTF">2020-04-02T09:18:00Z</dcterms:modified>
</cp:coreProperties>
</file>